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909"/>
            <w:bookmarkEnd w:id="6"/>
            <w:r>
              <w:rPr>
                <w:rFonts w:ascii="Times New Roman;Times;Serif" w:hAnsi="Times New Roman;Times;Serif"/>
                <w:b/>
                <w:i w:val="false"/>
                <w:caps w:val="false"/>
                <w:smallCaps w:val="false"/>
                <w:sz w:val="20"/>
              </w:rPr>
              <w:t>001-40591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395"/>
        <w:gridCol w:w="60"/>
        <w:gridCol w:w="60"/>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2929 N. Commerce Parkway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Miramar, </w:t>
            </w:r>
            <w:bookmarkStart w:id="10" w:name="xdx_90F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2_edei--CityAreaCode_c20260909__20"/>
      <w:bookmarkEnd w:id="12"/>
      <w:r>
        <w:rPr>
          <w:rFonts w:ascii="Times New Roman;Times;Serif" w:hAnsi="Times New Roman;Times;Serif"/>
          <w:b/>
          <w:i w:val="false"/>
          <w:caps w:val="false"/>
          <w:smallCaps w:val="false"/>
          <w:sz w:val="20"/>
        </w:rPr>
        <w:t xml:space="preserve">954 </w:t>
      </w:r>
      <w:bookmarkStart w:id="13" w:name="xdx_909_edei--LocalPhoneNumber_c20260909"/>
      <w:bookmarkEnd w:id="13"/>
      <w:r>
        <w:rPr>
          <w:rFonts w:ascii="Times New Roman;Times;Serif" w:hAnsi="Times New Roman;Times;Serif"/>
          <w:b/>
          <w:i w:val="false"/>
          <w:caps w:val="false"/>
          <w:smallCaps w:val="false"/>
          <w:sz w:val="20"/>
        </w:rPr>
        <w:t>842-2024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1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E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1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490" w:right="0" w:hanging="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909"/>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909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HCW Biologics Inc. issued Amendment No. 1 to Preliminary Proxy Statement, a copy of which is included in this Form 8-K as Exhibit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Current Report on Form 8-K, including the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HCW Biologics Inc. (the “Company”) filed Amendment No. 1 to Preliminary Proxy Statement (the “Amendment”), which amends and restates the Preliminary Proxy Statement originally filed with the Securities and Exchange Commission on September 8, 2026 (the “Original PRE 14A”). After considering stockholder feedback, the board of directors of the Company decided not to seek stockholder approval of Proposal No. 2 in the Original PRE 14A, which would have sought stockholder approval of an amended performance-based equity plan for the Company’s eligible officers, directors and employees, and to remove that proposal through the Amendment. In addition, the Amendment changes the date of the Special Meeting of Stockholders, the record date for the meeting and certain other dates set forth in the Original PRE 14A. Except as described above, no other substantive changes were made to the Original PRE 14A.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qualified in its entirety by reference to the full text of Amendment No. 1 to Preliminary Proxy Statement filed on September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Amendment No. 1 to Preliminary Proxy Statement filed September 9,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2030"/>
        <w:gridCol w:w="320"/>
        <w:gridCol w:w="4280"/>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46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Founder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673/000149315226041980/formprer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667</Words>
  <Characters>3580</Characters>
  <CharactersWithSpaces>4268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